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t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t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t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25 июня 2021 г. № 990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c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t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4 статьи 44 Федерального закона </w:t>
      </w:r>
      <w:r>
        <w:rPr>
          <w:rStyle w:val="cmd"/>
          <w:color w:val="333333"/>
          <w:sz w:val="27"/>
          <w:szCs w:val="27"/>
        </w:rPr>
        <w:t>"О государственном контроле (на</w:t>
      </w:r>
      <w:r>
        <w:rPr>
          <w:rStyle w:val="cmd"/>
          <w:color w:val="333333"/>
          <w:sz w:val="27"/>
          <w:szCs w:val="27"/>
        </w:rPr>
        <w:t>дзоре) и муниципальном контроле в Российской Федерации"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разработки и утверждения контрольными (надзорными) органами программы профилактики рисков причинения вреда (ущерба) ох</w:t>
      </w:r>
      <w:r>
        <w:rPr>
          <w:color w:val="333333"/>
          <w:sz w:val="27"/>
          <w:szCs w:val="27"/>
        </w:rPr>
        <w:t>раняемым законом ценностям.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</w:t>
      </w:r>
      <w:r>
        <w:rPr>
          <w:color w:val="333333"/>
          <w:sz w:val="27"/>
          <w:szCs w:val="27"/>
        </w:rPr>
        <w:t>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Настоящее постановление вступает в силу с 1 июля 2021 г.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</w:t>
      </w:r>
      <w:r>
        <w:rPr>
          <w:color w:val="333333"/>
          <w:sz w:val="27"/>
          <w:szCs w:val="27"/>
        </w:rPr>
        <w:lastRenderedPageBreak/>
        <w:t>профилактики рисков причинения вреда (ущерба) охраняемым зак</w:t>
      </w:r>
      <w:r>
        <w:rPr>
          <w:color w:val="333333"/>
          <w:sz w:val="27"/>
          <w:szCs w:val="27"/>
        </w:rPr>
        <w:t>оном ценностям на 2022 год.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i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М.Мишустин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s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июня 2021 г. № 990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t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разработки и утверждения контрольны</w:t>
      </w:r>
      <w:r>
        <w:rPr>
          <w:color w:val="333333"/>
          <w:sz w:val="27"/>
          <w:szCs w:val="27"/>
        </w:rPr>
        <w:t>ми (надзорными) органами программы профилактики рисков причинения вреда (ущерба) охраняемым законом ценностям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 - программа профилакт</w:t>
      </w:r>
      <w:r>
        <w:rPr>
          <w:color w:val="333333"/>
          <w:sz w:val="27"/>
          <w:szCs w:val="27"/>
        </w:rPr>
        <w:t>ики) по соответствующему виду государственного контроля (надзора), виду муниципального контроля (далее - вид контроля).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Программа профилактики может содержать разделы в части профилактики рисков причинения вреда (ущерба) охраняемым законом ценностям, ос</w:t>
      </w:r>
      <w:r>
        <w:rPr>
          <w:color w:val="333333"/>
          <w:sz w:val="27"/>
          <w:szCs w:val="27"/>
        </w:rPr>
        <w:t>уществляемой территориальными органами контрольных (надзорных) органов.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Программа профилактики состоит из следующих разделов: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анализ текущего состояния осуществления вида контроля, описание текущего развития профилактической деятельности контрольного</w:t>
      </w:r>
      <w:r>
        <w:rPr>
          <w:color w:val="333333"/>
          <w:sz w:val="27"/>
          <w:szCs w:val="27"/>
        </w:rPr>
        <w:t xml:space="preserve"> (надзорного) органа, характеристика проблем, на решение которых направлена программа профилактики;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цели и задачи реализации программы профилактики;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перечень профилактических мероприятий, сроки (периодичность) их проведения;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показатели результатив</w:t>
      </w:r>
      <w:r>
        <w:rPr>
          <w:color w:val="333333"/>
          <w:sz w:val="27"/>
          <w:szCs w:val="27"/>
        </w:rPr>
        <w:t xml:space="preserve">ности и эффективности программы профилактики. 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каждого вида профилактических мероприятий, включаемых в программу профилактики, определяются подразделения и (или) должностные лица контрольного (надзорного) органа, ответственные за их реализацию, а та</w:t>
      </w:r>
      <w:r>
        <w:rPr>
          <w:color w:val="333333"/>
          <w:sz w:val="27"/>
          <w:szCs w:val="27"/>
        </w:rPr>
        <w:t xml:space="preserve">кже сведения, предусмотренные пунктами 5 - 9 настоящих Правил, в случае осуществления конкретного профилактического мероприятия в рамках соответствующего вида контроля. 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организации консультирования в программе профилактики указываются установле</w:t>
      </w:r>
      <w:r>
        <w:rPr>
          <w:color w:val="333333"/>
          <w:sz w:val="27"/>
          <w:szCs w:val="27"/>
        </w:rPr>
        <w:t>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</w:t>
      </w:r>
      <w:r>
        <w:rPr>
          <w:color w:val="333333"/>
          <w:sz w:val="27"/>
          <w:szCs w:val="27"/>
        </w:rPr>
        <w:t>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организации обобщения правоприменительной практики в программе профилактики указываются установленные по</w:t>
      </w:r>
      <w:r>
        <w:rPr>
          <w:color w:val="333333"/>
          <w:sz w:val="27"/>
          <w:szCs w:val="27"/>
        </w:rPr>
        <w:t>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 - сеть "Интернет") доклада о правоприменительной практике.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организации профи</w:t>
      </w:r>
      <w:r>
        <w:rPr>
          <w:color w:val="333333"/>
          <w:sz w:val="27"/>
          <w:szCs w:val="27"/>
        </w:rPr>
        <w:t>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в данную часть программы профилактики в случае необходимости вносятся ежемесячно без проведения</w:t>
      </w:r>
      <w:r>
        <w:rPr>
          <w:color w:val="333333"/>
          <w:sz w:val="27"/>
          <w:szCs w:val="27"/>
        </w:rPr>
        <w:t xml:space="preserve"> публичного обсуждения.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целях применения мер стимулирования доброс</w:t>
      </w:r>
      <w:r>
        <w:rPr>
          <w:color w:val="333333"/>
          <w:sz w:val="27"/>
          <w:szCs w:val="27"/>
        </w:rPr>
        <w:t>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Разработанный контрольным (надзорным) органом проект программы профилактик</w:t>
      </w:r>
      <w:r>
        <w:rPr>
          <w:color w:val="333333"/>
          <w:sz w:val="27"/>
          <w:szCs w:val="27"/>
        </w:rPr>
        <w:t>и подлежит общественному обсуждению, которое проводится с 1 октября по 1 ноября года, предшествующего году реализации программы профилактики (далее - предшествующий год), в соответствии с пунктами 11 - 13 настоящих Правил.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целях общественного обсужде</w:t>
      </w:r>
      <w:r>
        <w:rPr>
          <w:color w:val="333333"/>
          <w:sz w:val="27"/>
          <w:szCs w:val="27"/>
        </w:rPr>
        <w:t>ния проект программы профилактики размещается на официальном сайте контрольного (надзорного) органа в сети "Интернет" не позднее 1 октября предшествующего года с одновременным указанием способов подачи предложений по итогам его рассмотрения.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обязательном</w:t>
      </w:r>
      <w:r>
        <w:rPr>
          <w:color w:val="333333"/>
          <w:sz w:val="27"/>
          <w:szCs w:val="27"/>
        </w:rPr>
        <w:t xml:space="preserve">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Поданные в период общественного обсуждения предложения рассматриваются контрольным (надзорным) </w:t>
      </w:r>
      <w:r>
        <w:rPr>
          <w:color w:val="333333"/>
          <w:sz w:val="27"/>
          <w:szCs w:val="27"/>
        </w:rPr>
        <w:t>органом с 1 ноября по 1 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Проект программы профилактики направляется в обществе</w:t>
      </w:r>
      <w:r>
        <w:rPr>
          <w:color w:val="333333"/>
          <w:sz w:val="27"/>
          <w:szCs w:val="27"/>
        </w:rPr>
        <w:t>нный совет при контрольном (надзорном) органе в целях его обсуждения.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</w:t>
      </w:r>
      <w:r>
        <w:rPr>
          <w:color w:val="333333"/>
          <w:sz w:val="27"/>
          <w:szCs w:val="27"/>
        </w:rPr>
        <w:t>трольного (надзорного) органа в сети "Интернет" не позднее 10 декабря предшествующего года.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Программа профилактики утверждается решением уполномоченного должностного лица контрольного (надзорного) органа не позднее 20 декабря предшествующего года и раз</w:t>
      </w:r>
      <w:r>
        <w:rPr>
          <w:color w:val="333333"/>
          <w:sz w:val="27"/>
          <w:szCs w:val="27"/>
        </w:rPr>
        <w:t>мещается на официальном сайте контрольного (надзорного) органа в сети "Интернет" в течение 5 дней со дня утверждения.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77DC">
      <w:pPr>
        <w:pStyle w:val="a3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677DC" w:rsidRDefault="007677DC">
      <w:pPr>
        <w:pStyle w:val="c"/>
        <w:spacing w:line="300" w:lineRule="auto"/>
        <w:divId w:val="16527152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76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3951"/>
    <w:rsid w:val="007677DC"/>
    <w:rsid w:val="00A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192EE-AA8E-474F-9BCA-52EF74A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526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3</dc:creator>
  <cp:keywords/>
  <dc:description/>
  <cp:lastModifiedBy>3</cp:lastModifiedBy>
  <cp:revision>2</cp:revision>
  <dcterms:created xsi:type="dcterms:W3CDTF">2024-06-25T08:15:00Z</dcterms:created>
  <dcterms:modified xsi:type="dcterms:W3CDTF">2024-06-25T08:15:00Z</dcterms:modified>
</cp:coreProperties>
</file>